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441 vom 20. Dezember 1991</w:t>
      </w:r>
    </w:p>
    <w:p>
      <w:r>
        <w:t>Bundesgericht (BGE), 1991-12-20, DE</w:t>
      </w:r>
    </w:p>
    <w:p>
      <w:r>
        <w:rPr>
          <w:b/>
        </w:rPr>
        <w:t xml:space="preserve">Quelle: </w:t>
      </w:r>
      <w:r>
        <w:t>https://mcp.opencaselaw.ch/entscheid/bge_117 IB 441</w:t>
      </w:r>
    </w:p>
    <w:p>
      <w:r>
        <w:t>FR: BGE 117 IB 441 du 20 décembre 1991</w:t>
      </w:r>
    </w:p>
    <w:p>
      <w:r>
        <w:t>IT: BGE 117 IB 441 del 20 dicembre 1991</w:t>
      </w:r>
    </w:p>
    <w:p>
      <w:pPr>
        <w:pStyle w:val="Heading2"/>
      </w:pPr>
      <w:r>
        <w:t>Regeste</w:t>
      </w:r>
    </w:p>
    <w:p>
      <w:r>
        <w:t>Regeste Art. 97 OG in Verbindung mit Art. 5 VwVG; Art. 3 ff., 11 ff. sowie Art. 30 Abs. 1 des Lebensmittelgesetzes (SR 817.0); Untersuchungs- und Beanstandungsverfahren gemäss dem Lebensmittelgesetz. 1. Beanstanden die Lebensmittelpolizeibehörden die Deklaration eines Lebensmittels als "light" beziehungsweise "kalorienreduziert", kommt dies im Ergebnis selbst dann einem Verbot, die Anpreisung weiterzuverwenden, gleich, wenn ein solches Verbot nicht ausdrücklich verfügt wird. Die Beanstandung enthält wenigstens eine Feststellung der Rechtslage. Gegen den letztinstanzlichen kantonalen Entscheid über die Beanstandung ist die Verwaltungsgerichtsbeschwerde zulässig (E. 1c-d sowie E. 2). 2. Im Bereich der Lebensmittelpolizei sind alle Kantone berechtigt und verpflichtet, auf ihrem Gebiet die einschlägigen Vorschriften zu vollziehen. Für ein Untersuchungsverfahren nach dem Lebensmittelgesetz gilt die parallele Zuständigkeit aller Kantone, in denen ein Produkt vertrieben wird (E. 4a-b).</w:t>
      </w:r>
    </w:p>
    <w:p>
      <w:pPr>
        <w:pStyle w:val="Heading2"/>
      </w:pPr>
      <w:r>
        <w:t>Erwägungen</w:t>
      </w:r>
    </w:p>
    <w:p>
      <w:r>
        <w:rPr>
          <w:b/>
        </w:rPr>
        <w:t>E. 1</w:t>
      </w:r>
    </w:p>
    <w:p>
      <w:r>
        <w:t>c) Gemäss Art. 97 OG in Verbindung mit Art. 5 VwVG ist die Verwaltungsgerichtsbeschwerde zulässig gegen Verfügungen, die sich auf öffentliches Recht des Bundes stützen oder hätten stützen sollen, von einer der in Art. 98 OG genannten Vorinstanzen (einschliesslich letzter Instanzen der Kantone, vgl. Art. 98 lit. g OG ) ausgehen und keinem Ausschlussgrund nach Art. 99-102 OG unterliegen. Dies gilt auch für Verfügungen, die sowohl auf kantonalem wie auch auf Bundesrecht beruhen, falls und soweit dem kantonalen Recht neben dem Bundesrecht keine selbständige Bedeutung zukommt ( BGE 115 Ib 459 f. E. 1b mit Hinweisen; CARL HANS BRUNSCHWILER, Wie die Verwaltungsgerichtsbeschwerde die Funktion der staatsrechtlichen Beschwerde übernimmt, in: Mélanges Robert Patry, Lausanne 1988, S. 267 ff.). Im vorliegenden Fall wandten die Vorinstanzen die Lebensmittelgesetzgebung des Bundes an (insbesondere das Bundesgesetz vom 8. Dezember 1905 betreffend den Verkehr mit Lebensmitteln und Gebrauchsgegenständen (Lebensmittelgesetz), LMG, SR 817.0; sowie die Verordnung vom 26. Mai 1936 über Lebensmittel und Gebrauchsgegenstände (Lebensmittelverordnung), LMV, SR 817.02). Wiewohl die lebensmittelpolizeiliche Aufsicht in weiten Teilen von Bundesrechts wegen in die Kompetenz der Kantone gestellt ist (vgl. Art. 3 ff. LMG ), kommt den kantonalen Erlassen keine selbständige Bedeutung zu. Vielmehr handelt es sich um reine, durch den Bundesrat zu genehmigende ( Art. 56 Abs. 2 LMG ) Vollziehungsvorschriften. Selbst das Beanstandungs- und Einspracheverfahren, um das es im vorliegenden Fall geht, ist grösstenteils bundesrechtlich vorbestimmt ( Art. 11 ff. LMG ). Die BGE 117 Ib 441 S. 445 eidgenössische Gesetzgebung lässt den Kantonen somit keinen Raum für substantielle Regelungen. d) Im vorliegenden Zusammenhang liegt kein Ausschlussgrund nach Art. 99 ff. OG vor. Gemäss ständiger Praxis des Bundesgerichts ist denn auch die Verwaltungsgerichtsbeschwerde zulässig gegen eine Verfügung, die auf der Grundlage der Lebensmittelgesetzgebung ergeht ( BGE 103 Ib 232 ; unveröffentlichtes Urteil vom 13. November 1990 i.S. P. S.A., E. 1a; vgl. auch BBl 1989 I 966). Es fragt sich indessen, ob sich die Beschwerde gegen eine Verfügung im Sinne von Art. 5 VwVG richtet.</w:t>
      </w:r>
    </w:p>
    <w:p>
      <w:r>
        <w:rPr>
          <w:b/>
        </w:rPr>
        <w:t>E. 2</w:t>
      </w:r>
    </w:p>
    <w:p>
      <w:r>
        <w:t>a) Verfügungen sind Anordnungen einer Behörde im Einzelfall, welche unter anderem die Begründung, Änderung oder Aufhebung von Rechten oder Pflichten zum Gegenstand haben ( Art. 5 Abs. 1 lit. a VwVG ) oder aber das Bestehen, Nichtbestehen oder den Umfang von Rechten oder Pflichten feststellen ( Art. 5 Abs. 1 lit. b VwVG ). Als Verfügungen gelten auch Zwischen-, Einsprache- sowie Beschwerdeentscheide ( Art. 5 Abs. 2 VwVG ). Bei der Behandlung der Frage, ob es sich beim angefochtenen Entscheid um eine Verfügung in diesem Sinne handelt, ist zu berücksichtigen, dass das Lebensmittelgesetz aus einer Zeit stammt, in der es noch keine Verwaltungsverfahrens- und -rechtspflegeordnung des Bundes gab. Die entsprechenden Erlasse wurden erst geraume Zeit später geschaffen. Das Lebensmittelgesetz befasst sich daher zu einem grossen Teil mit der Regelung des Verfahrens, geht dabei aber logischerweise nicht von den rechtlichen Prämissen der heutigen Verfahrensordnung aus. Die systematische Erfassung der im Lebensmittelgesetz vorgesehenen Verfahren und ihre Eingliederung in den modernen Verwaltungsprozess ergibt sich somit nicht ohne weiteres, sondern bedarf näherer Klärung. b) Im Verfahren nach Art. 11 ff. LMG untersucht die zuständige Behörde, ob die Lebensmittelgesetzgebung eingehalten wird. Das Ergebnis der Untersuchung ist dem Beteiligten mitzuteilen ( Art. 14 Abs. 1 sowie Art. 16 Abs. 1 LMG ). Beanstandet das Untersuchungsorgan eine Verletzung der Lebensmittelgesetzgebung, hat sie Anzeige bei der zuständigen Behörde zu erstatten. Diesfalls kann der Beteiligte Einsprache erheben und eine Oberexpertise verlangen ( Art. 16 Abs. 2 LMG ), mit welcher der negative Befund überprüft wird. Die Zuständigkeit für das Einspracheverfahren wird im kantonalen Recht geregelt. Im Kanton Basel-Stadt handelt es sich um das Sanitätsdepartement (vgl. die Verordnung des Regierungsrates vom 3. Juni 1921 über das Verfahren bei Oberexpertisen BGE 117 Ib 441 S. 446 aufgrund des Bundesgesetzes betreffend den Verkehr mit Lebensmitteln und Gebrauchsgegenständen, SG 351.150). Der Einspracheentscheid kann mittels Rekurs an den Regierungsrat weitergezogen werden (§§ 41 ff. des Gesetzes vom 22. April 1976 betreffend die Organisation des Regierungsrates und der Verwaltung des Kantons Basel-Stadt, SG 153.100). Dieser ist letzte kantonale Instanz (vgl. § 11 Ziff. 3 des baselstädtischen Gesetzes vom 14. Juni 1928 über die Verwaltungsrechtspflege, SG 270.100). Es fragt sich, wieweit die Beanstandungs-, Einsprache- und Rekursentscheide bereits materielle Rechtswirkungen entfalten. Ist dies nämlich nicht der Fall, sind sie in inhaltlicher Hinsicht blosse Verwaltungstathandlungen und keine anfechtbaren Verfügungen (vgl. dazu ROLAND PLATTNER-STEINMANN, Tatsächliches Verwaltungshandeln, Zürich 1990, insbesondere S. 73 und 111; FRITZ GYGI, Bundesverwaltungsrechtspflege, 2. Aufl., Bern 1983, S. 136). In diesem Sinne äussert sich auch die bundesrätliche Botschaft vom 30. Januar 1989 zu einem neuen Lebensmittelgesetz, welche im Entwurf das Beanstandungsverfahren als solches beibehält (BBl 1989 I 939 f.). Zu beachten ist allerdings, dass es keiner rechtsgestaltenden Wirkungen bedarf, um das Vorliegen einer Verfügung zu bejahen, sondern dass dafür bereits genügt, wenn der Verwaltungsakt Rechte des beteiligten Privaten feststellt ( Art. 5 Abs. 1 lit. b VwVG ). c) Im Untersuchungsverfahren wird - vergleichbar mit einer vorsorglichen Beweisaufnahme - in erster Linie der Sachverhalt ermittelt und festgehalten. Die Mitteilung über das Untersuchungsergebnis beziehungsweise die Anzeige treffen als solche keine rechtsgestaltenden Anordnungen. Die entsprechenden Massnahmen müssen besonders verfügt werden ( Art. 20 LMG ), können jedoch unter Umständen, wie zum Beispiel Beschlagnahmungen (vgl. Art. 21 LMG ), bereits mit dem Untersuchungsbericht verbunden werden. Untersuchungshandlungen ergehen allerdings immer im Hinblick auf materielles Recht. Führt die Untersuchung zu einer Beanstandung, bedeutet dies denn auch zwingend, dass die Untersuchungsbehörde davon ausgeht, es liege ein Gesetzesverstoss vor. Zwar ist die Beanstandung nicht mit unmittelbaren Rechtsfolgen für den Beteiligten verbunden, wenn sie sich auf einen abgeschlossenen Sachverhalt bezieht, zum Beispiel wenn sie die Verderbtheit eines Lebensmittels in einem bestimmten Zeitpunkt festhält. Anders verhält es sich jedoch, wenn die Beanstandung sich auf die BGE 117 Ib 441 S. 447 Fortführung einer Tätigkeit auswirkt. Tut die Behörde wie im vorliegenden Fall mit der Beanstandung ihre Ansicht kund, der Vertrieb oder die bestimmte Anpreisung einer Ware seien unzulässig, ist daran die Erwartung geknüpft, dass die gerügte Tätigkeit künftig unterbleibt. Diese Erwartung wird durch den Umstand verstärkt und verrechtlicht, dass eine Zuwiderhandlung gegen das Lebensmittelgesetz oder die Lebensmittelverordnung unter Strafdrohung steht (Art. 38 ff., insbesondere Art. 41 LMG ). Für den Adressaten der Beanstandung wirkt sich diese daher bereits wie ein Verbot aus, ohne dass sie ausdrücklich mit einem solchen verbunden wird. In einer derartigen Situation kann das Vorliegen einer Feststellungsverfügung zwar allenfalls dann verneint werden, wenn die Verwaltungsbehörde bloss zur Strafanzeige berechtigt ist und die Beurteilung der Rechtslage ausschliesslich in der Kompetenz der Strafverfolgungsorgane steht (unveröffentlichtes Urteil vom 24. Februar 1984 i.S. K. AG, E. 1). Anders verhält es sich jedoch, wenn die Verwaltungsbehörden, wie dies im Bereich der Lebensmittelpolizei zutrifft, selbst befugt sind, materiellrechtlich zu verfügen. d) Im vorliegenden Fall hielt bereits der Untersuchungsbericht des Kantonalen Laboratoriums fest, die fraglichen Produkte seien gemäss Art. 15 und 185 lit. f LMV wegen unerlaubter Anpreisungen zu beanstanden. Dieser Befund war mit der Aufforderung an die Beschwerdeführerin verbunden, Bericht über die Behebung des Beanstandungsgrundes zu erstatten. Schon der Untersuchungsbericht ging somit über einen reinen Tatsachenbefund hinaus und enthielt, auch wenn er nicht mit einem ausdrücklichen Verbot versehen war, wenigstens eine Feststellung der Rechtslage, die sich für die Beschwerdeführerin wie ein Verbot auswirkte. Im Einspracheverfahren hat das Sanitätsdepartement nicht eine administrative Massnahme getroffen, sondern gestützt auf die Oberexpertise die Einsprache abgewiesen und die Kosten der Beschwerdeführerin auferlegt. Damit verbunden war die Rechtsmittelbelehrung, gegen den Entscheid könne an den Regierungsrat rekurriert werden. Dieser wiederum wies die eingereichte Beschwerde ab und nannte als Rechtsmittel die Verwaltungsgerichtsbeschwerde an das Bundesgericht. Beide Instanzen haben in ihren Entscheiden keinerlei Zweifel am Verfügungscharakter des in Frage stehenden Akts geäussert. Sowohl der Entscheid des Departements als auch derjenige des Regierungsrates sind zweifellos in formeller Hinsicht Verfügungen. BGE 117 Ib 441 S. 448 Materiell enthalten sie die Feststellung, die Einsprache beziehungsweise der Rekurs sei unbegründet. Sie bestätigen damit inhaltlich den Untersuchungsbericht und den Befund des Kantonalen Laboratoriums. Es handelt sich daher wenigstens um Feststellungsverfügungen. e) Gegen den angefochtenen Entscheid kann somit Verwaltungsgerichtsbeschwerde erhoben werden.</w:t>
      </w:r>
    </w:p>
    <w:p>
      <w:r>
        <w:rPr>
          <w:b/>
        </w:rPr>
        <w:t>E. 4</w:t>
      </w:r>
    </w:p>
    <w:p>
      <w:r>
        <w:t>a) Die Beschwerdeführerin bestreitet die örtliche Zuständigkeit der baselstädtischen Behörden. Da bei deren Unzuständigkeit das Verfahren im Kanton Basel-Stadt ohnehin dahinfiele und dadurch sämtliche anderen Vorbringen gegenstandslos würden, ist diese Rüge vorweg zu behandeln. Nach Ansicht der Beschwerdeführerin muss die Einhaltung der Lebensmittelgesetzgebung durch Importware für die ganze Schweiz einheitlich beurteilt werden, weshalb nicht mehrere Kantone gleichzeitig kompetent sein könnten. Wie aus einer analogen Anwendung von Art. 30 Abs. 1 LMG hervorgehe, sei vielmehr ausschliesslich der Bestimmungskanton zuständig; gemäss der genannten Bestimmung sind Proben, welche die Zollämter als Bundesinstanzen erheben, den Behörden des Kantons des Bestimmungsortes für weitere Massnahmen zu übermitteln. Im vorliegenden Fall ist nach Ansicht der Beschwerdeführerin ausschliesslich das Kantonale Labor Zürich örtlich zuständig, weil sie ihren Sitz in diesem Kanton habe und von dort aus den Vertrieb in der Schweiz organisiere. ... b) Mit dem Vollzug der Lebensmittelgesetzgebung sind sowohl der Bund als auch die Kantone betraut ( Art. 3 ff. LMG ). Entgegen der Ansicht der Beschwerdeführerin sind im Bereich der Lebensmittelpolizei alle Kantone berechtigt und verpflichtet, auf ihrem Gebiet die einschlägigen Bestimmungen zu vollziehen. Für eine bestimmte Ware gilt somit die parallele Zuständigkeit aller Kantone, in denen diese Ware vertrieben wird. Diese parallele Zuständigkeit kann zwar Koordinationsprobleme mit sich bringen. Wie das Bundesgericht jedoch bereits früher festgehalten hat, ist für die Auslegung des geltenden Rechts ohne Belang, dass manchmal ein für alle Kantone gültiger Entscheid wünschbar wäre. Die koordinierenden Bestrebungen der Bundesinstanzen und die Bereitschaft der Kantone, eine übereinstimmende Praxis zu befolgen, gewährleisten in genügendem Masse, dass eine Streitfrage in der Regel nur in einem Kanton ausgetragen werden muss. Zudem kann in den meisten Fällen ein letztinstanzlicher Entscheid des BGE 117 Ib 441 S. 449 Bundesgerichts erwirkt werden ( BGE 106 Ia 46 f. E. 6; BGE 97 I 855 f. E. 2a und b). Es steht mit der parallelen Zuständigkeit der Kantone nicht im Widerspruch, dass Art. 30 Abs. 1 LMG die Zuweisung der Untersuchung von an der Grenze erhobenen Proben durch die eidgenössischen Zollämter an den Kanton des Bestimmungsortes vorsieht. Erstens geht es dabei um die Kompetenzausscheidung zwischen kantonalen und Bundesorganen und nicht zwischen den Kantonen, und zweitens betrifft dies den Zeitpunkt, in dem eine Ware erst in die Schweiz eingeführt (und noch nicht bereits damit gehandelt) wird. Es mag allenfalls zutreffen, dass Bestimmungsort in diesem Sinne der Sitz der Vertriebsgesellschaft oder der Ort ist, von dem aus die Ware zum Weiterverkauf gelangt; das spielt im vorliegenden Fall jedoch keine Rolle, da die fraglichen Gummi-Bonbons im Kanton Basel-Stadt bereits zum Verkauf angeboten wurden. Dieser Zusammenhang begründet die Zuständigkeit der Behörden des Kantons Basel-Stadt selbst dann, wenn die Produkte tatsächlich über das Gebiet des Kantons Zürich eingeführt wurden beziehungsweise die Beschwerdeführerin den Verkauf von dort aus organisierte.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